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32EA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22129" w:type="dxa"/>
        <w:tblInd w:w="93" w:type="dxa"/>
        <w:tblLayout w:type="fixed"/>
        <w:tblLook w:val="04A0"/>
      </w:tblPr>
      <w:tblGrid/>
      <w:tr>
        <w:trPr>
          <w:trHeight w:hRule="atLeast" w:val="375"/>
        </w:trPr>
        <w:tc>
          <w:tcPr>
            <w:tcW w:w="22129" w:type="dxa"/>
            <w:gridSpan w:val="12"/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Сводный план-график догазификации</w:t>
            </w:r>
          </w:p>
        </w:tc>
      </w:tr>
      <w:tr>
        <w:trPr>
          <w:trHeight w:hRule="atLeast" w:val="300"/>
        </w:trPr>
        <w:tc>
          <w:tcPr>
            <w:tcW w:w="22129" w:type="dxa"/>
            <w:gridSpan w:val="12"/>
            <w:tcBorders>
              <w:bottom w:val="single" w:sz="4" w:space="0" w:shadow="0" w:frame="0" w:color="auto"/>
            </w:tcBorders>
            <w:noWrap/>
            <w:vAlign w:val="bottom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Ленинградская область</w:t>
            </w:r>
          </w:p>
        </w:tc>
      </w:tr>
      <w:tr>
        <w:trPr>
          <w:trHeight w:hRule="atLeast" w:val="315"/>
        </w:trPr>
        <w:tc>
          <w:tcPr>
            <w:tcW w:w="560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w="2149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Муниципальный район</w:t>
            </w:r>
          </w:p>
        </w:tc>
        <w:tc>
          <w:tcPr>
            <w:tcW w:w="2551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Муниципальное образование</w:t>
            </w:r>
          </w:p>
        </w:tc>
        <w:tc>
          <w:tcPr>
            <w:tcW w:w="2835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населенного пункта</w:t>
            </w:r>
          </w:p>
        </w:tc>
        <w:tc>
          <w:tcPr>
            <w:tcW w:w="1843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Общее количество негазифици-рованных домовладений в населенном пункте, шт</w:t>
            </w:r>
          </w:p>
        </w:tc>
        <w:tc>
          <w:tcPr>
            <w:tcW w:w="2794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газораспределительной организации</w:t>
            </w:r>
          </w:p>
        </w:tc>
        <w:tc>
          <w:tcPr>
            <w:tcW w:w="9397" w:type="dxa"/>
            <w:gridSpan w:val="6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График реализации догазификации</w:t>
            </w:r>
          </w:p>
        </w:tc>
      </w:tr>
      <w:tr>
        <w:trPr>
          <w:trHeight w:hRule="atLeast" w:val="315"/>
        </w:trPr>
        <w:tc>
          <w:tcPr>
            <w:tcW w:w="56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2551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2021 год</w:t>
            </w:r>
          </w:p>
        </w:tc>
        <w:tc>
          <w:tcPr>
            <w:tcW w:w="4678" w:type="dxa"/>
            <w:gridSpan w:val="3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2022 год</w:t>
            </w:r>
          </w:p>
        </w:tc>
      </w:tr>
      <w:tr>
        <w:trPr>
          <w:trHeight w:hRule="atLeast" w:val="930"/>
        </w:trPr>
        <w:tc>
          <w:tcPr>
            <w:tcW w:w="56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2551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объектов домовладений* в населенном пункте, для которых создается техническая возможность подключения, шт</w:t>
            </w:r>
          </w:p>
        </w:tc>
        <w:tc>
          <w:tcPr>
            <w:tcW w:w="2694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 догазификации (месяц)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объектов домовладений в населенном пункте, для которых создается техническая возможность подключения, шт</w:t>
            </w:r>
          </w:p>
        </w:tc>
        <w:tc>
          <w:tcPr>
            <w:tcW w:w="2716" w:type="dxa"/>
            <w:gridSpan w:val="2"/>
            <w:tcBorders>
              <w:top w:val="single" w:sz="4" w:space="0" w:shadow="0" w:frame="0" w:color="auto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 догазификации (месяц)</w:t>
            </w:r>
          </w:p>
        </w:tc>
      </w:tr>
      <w:tr>
        <w:trPr>
          <w:trHeight w:hRule="atLeast" w:val="930"/>
        </w:trPr>
        <w:tc>
          <w:tcPr>
            <w:tcW w:w="560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2149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2551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2025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начало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окончание</w:t>
            </w:r>
          </w:p>
        </w:tc>
        <w:tc>
          <w:tcPr>
            <w:tcW w:w="1962" w:type="dxa"/>
            <w:vMerge w:val="continue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начало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окончание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</w:t>
            </w:r>
          </w:p>
        </w:tc>
      </w:tr>
      <w:tr>
        <w:trPr>
          <w:trHeight w:hRule="atLeast" w:val="94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Бокситогорский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 Бокситогорск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Бокситогорск,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АО "Газпром газораспределение Ленинградская область" </w:t>
              <w:br w:type="textWrapping"/>
              <w:t>(далее - АО "ГГЛО")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Бокситогорский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Бокситогорский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Ефимовское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Ефимовский,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Бокситогорский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 Пикалево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Пикалево,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Бокситогорский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Самойловское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Самойлово,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Бокситогорский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Бокситогорское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Сегла,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Бокситогорский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Сельхозтехника,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Бокситогорский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Самойловское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Совхозный,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Бегуницкое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Бегуницы,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Большеврудское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Беседа, пос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Большеврудское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Большая Вруда,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 Волосово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Волосово,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Клопицкое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Губаницы,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Рабитицкое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Домашковицы 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Клопицкое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Жилгородок,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Рабитицкое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Заполье,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Рабитицкое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Захонье,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Бегуницкое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Зимитицы,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Рабитицкое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Извара,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Калитинское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Калитино,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Калитинское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Калитино,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Большеврудское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Каложицы,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Клопицкое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Кемполово,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Калитинское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Кикерино,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Клопицкое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Клопицы,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Клопицкое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Красные Череповицы,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Калитинское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Курковицы,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Большеврудское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Курск,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Рабитицкое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Лиможа,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Калитинское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Лисино,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Рабитицкое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Рабитицы,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Рабитицкое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Рабитицы,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Рабитицкое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Реполка,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Клопицкое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Сельцо,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Рабитицкое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Сосницы,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Бегуницкое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Старые Бегуницы,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Клопицкое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Сумино,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Бегуницкое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Терпилицы,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Клопицкое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Торосово,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Большеврудское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Ущевицы,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Большеврудское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Хотыницы,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Большеврудское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Шуговицы,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Бережковское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Бережки,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Потанинское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Весь,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Вындиноостровское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Вындин Остров,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Вындиноостровское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Гостинополье,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Староладожское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Ивановский Остров,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Староладожское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Извоз,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Иссадское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Иссад,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Кисельнинское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Кисельня,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Колчановское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Колчаново,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Новоладожское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Новая Ладога,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Иссадское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Поляша,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Потанинское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Потанино,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Сясьстройское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Пульница,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Колчановское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Реброво,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Иссадское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Речников,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Потанинское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Самушкино,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Селивановское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Селиваново,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Староладожское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Старая Ладога,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Сясьстройское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Сясьстрой,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Колчановское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Усадище,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Волховский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Потанинское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Юги, п.ст.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Агалатовское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Агалатово,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Свердловское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Большие Пороги,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Бугровское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Бугры,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Кузьмоловское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Варкалово,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Агалатовское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Вартемяги,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Куйвозовское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Васкелово,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Лесколовское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Верхние Осельки,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Вирки,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Воейково,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Юкковское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Дранишники,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Дубровское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Дубровка,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Ёксолово,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Заневка,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Морозовское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имени Морозова,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Свердловское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имени Свердлова,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Токсовское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Кавголово,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Кальтино,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Канисты,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Бугровское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Капитолово,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Карьер-Мяглово, местечко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Агалатовское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Касимово,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Кирполье,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Лесколовское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Кискелово,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Ковалево,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Колбино,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Агалатовское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Колясово,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Коркино,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Романовское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Корнево, п.ст.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Морозовское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Кошкино,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Красная Горка,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Кузьмоловское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Кузьмолово,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Кузьмоловское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Кузьмоловский,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Куйвозовское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Куйворы,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Кузьмоловское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Куялово,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Муринское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Лаврики,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Лесколовское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Лесколово,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Лиголамби,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Юкковское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Лупполово,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Щегловское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Малая Романовка,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Манушкино,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Свердловское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Маслово,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Юкковское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Медный Завод,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Бугровское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Мендсары,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Щегловское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Минулово,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Бугровское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Мистолово,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Муринское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Мурино,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Мяглово,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Лесколовское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Нижние Осельки,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Новая Пустошь,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Свердловское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Новосаратовка,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Озерки,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Озерки-1,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Свердловское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Оранжерейка,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Лесколовское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Осельки, п.ст.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Осельки,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Свердловское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Островки,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Павлово,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Щегловское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Пески,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Щегловское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Плинтовка,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Бугровское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Порошкино,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Рахьинское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Проба,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Разметелево,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Рахьинское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Рахья,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Романовское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Романовка,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Бугровское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Савочкино,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Юкковское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Сарженка,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Сертоловвское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Сертолово,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Агалатовское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Скотное,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Старая Пустошь,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Старая,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Суоранда,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Бугровское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Сярьги,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Тавры,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Токкари,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Токсовское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Токсово,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Углово,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Романовское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Углово,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Хапо-Ое,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Хирвости,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Хиттолово,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Хязельки,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Морозовское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Шереметьевка,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Щегловское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Щеглово,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Щегловское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Щеглово,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Бугровское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Энколово,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Юкковское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Юкки,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Янино-1,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Всеволожский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Янино-2,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Приморское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Гончаровское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Барышево,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Полянское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Вишневка,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Рощинское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Волочаевка,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Рощинское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Ганино,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Гончаровское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Гончарово,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Полянское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Зелёная Роща,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Первомайское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Ильичево,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Каменногороское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Каменногорск,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Красносельское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Кирпичное,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Красносельское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Коробицыно,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Красносельское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Красносельское,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Первомайское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Ленинское,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Светогорское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Лесогорский,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Светогорское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Лосево,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Матросово, п.ст.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Полянское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Местерьярви, п.ст.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Приморское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Озерки,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Первомайское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Ольшаники,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Первомайское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Первомайское,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Гончаровское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Перово,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Полянское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Пески,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Полянское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Песочное,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Рощинское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Полянское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Поляны,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Красносельское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Правдино,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Полянское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Приветнинский карьер,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Полянское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Приветнинское, п.ст.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Полянское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Приветнинское,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Каменногороское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Пруды,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Рощинское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Пушное,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Первомайское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Решетниково,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Рощинское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Рощино,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Светогорское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Светогорск,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Полянское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Семиозерье,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Первомайское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Симагино,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Советский,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Советское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Соколинское,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Полянское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Тарасово,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Полянское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Уткино,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Рощинское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Цвелодубово,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Таицкое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Пудомягское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Антелево, дер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Рождественское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Батово,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Сиверское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Белогорка,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Таицкое 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Большая Ивановка,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Сиверское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Большево,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Елизаветинское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Большие Борницы,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Большеколпанское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Большие Колпаны,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Таицкое 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Большие Тайцы,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Пудостьское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Большое Рейзино,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Пудомягское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Веревское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Вайя,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Сусанинское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Виркино,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Сяськелевское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Войсковицы,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Войсковицкое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Войсковицы,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Сяськелевское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Вохоново,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Вырицкое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Вырица,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Кобринское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Высокоключевой,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Пудостьское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Вяхтелево,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Гатчина,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Веревское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Таицкое 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Гяргино,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Рождественское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Даймище, 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Дружногорское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Дружная Горка,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Сиверское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Дружноселье,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Елизаветинское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Елизаветино,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Сяськелевское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Жабино,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Веревское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Таицкое 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Истинка,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Войсковицкое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Карстолово,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Кобринское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Карташевская,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Пудомягское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Кобралово,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Сусанинское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Кобралово,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Кобринское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Кобрино,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Кобринское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Кобринское,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Сусанинское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Ковшово,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Коммунарское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Коммунар,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Пудостьское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Котельниково,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Сиверское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Куровицы,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Дружногорское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Лампово,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Пудомягское  СП Гатчинского 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Лукаши,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Веревское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Малое Верево,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Новосветское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Малое Замостье,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Елизаветинское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Малые Борницы,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Большеколпанское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Малые Колпаны,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Таицкое 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Малые Тайцы,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Кобринское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Меньково,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Вырицкое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Пудомягское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Монделево,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Сусанинское 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Мыза,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Таицкое 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Нижняя,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Большеколпанское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Никольское,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Большеколпанское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Никольское,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Таицкое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Новая,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Сиверское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Новосиверская,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Новосветское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Новый Свет,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Войсковицкое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Новый Учхоз,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Большеколпанское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Парицы,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Пудостьское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Покизен-Пурская,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Пудомягское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Покровская,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Новосветское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Пригородный,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Пудомягское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Пудомяги,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Пудостьское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Пудость,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Сяськелевское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Реболово,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Рождественское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Рождествено,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Кобринское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Руново,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Рождественское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Рыбицы,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Сусанинское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Семрино,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Сиверское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Сиверский,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Пудостьское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Сокколово,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Сиверское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Сиверское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Старосиверская,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Сиверское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Суйда,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Сусанинское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Сусанино,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Сяськелевское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Сяськелево,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Тайцы,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Пудостьское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Терволово,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Тихвинка,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Новосветское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Тойворово,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Сяськелевское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Торфяное,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Войсковицкое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Тяглино,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Большеколпанское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Химози,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Пудомягское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Шаглино,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Гатчинский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Елизаветинское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Шпаньково,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Кингисеппский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Опольевское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Алексеевка,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Кингисеппский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Пустомержское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Большая Пустомержа,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Кингисеппский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Котельское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Большое Руддилово,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Кингисеппский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Большелуцкое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Большой Луцк,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Кингисеппский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Пустомержское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Веймарн, п.ст.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Кингисеппский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Большелуцкое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Велькота,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Кингисеппский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Фалилеевское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Кингисеппский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Ивангородское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Ивангород,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Кингисеппский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Фалилеевское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Кайболово,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Кингисеппский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Опольевское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Керстово,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Кингисеппский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Кингисеппское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Кингисепп,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Кингисеппский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Большелуцкое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Кингисеппский,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Кингисеппский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Пустомержское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Корпово,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Кингисеппский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Котельское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Котельский,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Кингисеппский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Большелуцкое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Малый Луцк,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Кингисеппский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Опольевское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Ополье,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Кингисеппский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Котельское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Удосолово,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Кингисеппский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Фалилеевское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Фалилеево,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Киришский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Глажевское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Глажево,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Киришский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Пчевское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Городище,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Киришский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Киришское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Кириши,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Киришский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Глажевское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Подсопье,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Киришский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Пчевское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Пчева,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Путиловское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Валовщина,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Назиевское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Васильково,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Шумское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Войбокало, п.ст.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Путиловское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Горная Шальдиха,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Шумское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Шумское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Концы,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Мгинское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Мга,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Молодцово,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Назиевское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Назия,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Путиловское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Нижняя Шальдиха,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Отрадненское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Отрадное,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Павлово,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Путиловское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Петровщина,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Приладожское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Приладожский,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Путиловское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Путилово,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Шумское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Сибола,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Синявинское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Синявино,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Назиевское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Сирокасска,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Шлиссельбургское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Шлиссельбург,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Шумское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Шум,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Лодейнопольский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Лодейнопольское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Лодейное Поле,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Лодейнопольский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Янегское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Старая Слобода,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Лодейнопольский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Лодейнопольское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Шамокша,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Лодейнопольский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Янегское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Янега,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Аннинское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Аннино,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Виллозское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Аропаккузи,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Большеижорское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Большая Ижора,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Ропшинское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Большие Горки,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Аннинское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Большие Томики,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Пениковское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Бронна,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Виллозское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Вариксолово,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Горбунковское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Велигонты,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Пениковское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Верхние Венки,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Пениковское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Верхняя Бронна,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Виллозское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Виллози,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Оржицкое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Вильповицы,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Лопухинское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Глобицы,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Ропшинское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Глядино,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Горбунковское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Горбунки,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Гостилицкое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Гостилицы,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Пениковское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Дубки,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Гостилицкое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Дятлицы, 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Низинское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Жилгородок,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Аннинское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Иннолово,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Виллозское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Кавелахта,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Виллозское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Карвала,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Кипенское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Келози,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Кипенское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Кипень,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Низинское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Князево,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Лебяженское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Коваши,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Копорское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Копорье,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Ропшинское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Коцелово,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Пениковское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Куккузи,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Лаголовское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Лаголово,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Пениковское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Лангерево,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Лебяженское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Лебяжье,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Пениковское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Лимузи,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Лопухинское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Лопухинка,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Оржицкое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Малое Забородье, 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Виллозское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Малое Карлино,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Ропшинское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Малые Горки,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Лаголовское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Михайловка,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Ропшинское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Михайловская,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Виллозское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Мурилово,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Лаголовское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Мухоловка,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Виллозское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Мюреля,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Пениковское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Нижняя Бронна,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Низинское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Низино,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Горбунковское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Новополье,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Аннинское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Новоселье,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Оржицкое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Оржицы,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Пениковское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Пеники,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Виллозское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Перекюля,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Аннинское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Пески,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Виллозское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Пикколово,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Горбунковское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Разбегаево,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Горбунковское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Райкузи,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Виллозское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Рассколово,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Виллозское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Ретселя,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Ропшинское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Ропша,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Русско-Высоцкое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Русско-Высоцкое, село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Аннинское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Рюмки,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Виллозское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Саксолово,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Низинское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Низинское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Сашино,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Пениковское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Сойкино,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Горбунковское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Средняя Колония,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Горбунковское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Старые Заводы,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Русско-Высоцкое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Телези,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Низинское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Узигонты,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Кипенское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Черемыкино,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Ропшинское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Яльгелево,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Дзержинское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Дзержинского,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Дзержинское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Естомичи,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Толмачевское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Жельцы,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Заклинское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Заклинье,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Заклинское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Каменка,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Мшинское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Красный Маяк,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Лужское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Луга,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Скребловское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Межозерный,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Оредежское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Оредеж,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Лужское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Пансионат "Зеленый Бор",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Толмачевское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Перечицы,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Мшинское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Пехенец,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Толмачевское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Плоское,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Оредежское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Почап,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Ретюнское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Ретюнь,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Серебрянское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Серебрянский, пос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Толмачевское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Толмачево,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Торковичское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Торковичи,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Подпорожский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Важинское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Важины,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Подпорожский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Никольское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Никольский,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Подпорожский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Подпорожское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Подпорожье,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Раздольевское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Бережок,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Мельниковское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Васильево,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Запорожское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Запорожское,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Мгинское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Колосково, 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Красноозерное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Красноозерное,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Мичуринское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Мичуринское,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Приозерское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Приозерск,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Платформа 69-й км,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Запорожское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Пятиречье,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Красноозерное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Светлое,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Красноозерное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Силино,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Сосново,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Запорожское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Удальцово,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Приозерский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Ромашкинское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Ромашки,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Сланцевский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Выскатское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Выскатка,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Сланцевский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Гостицкое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Гостицы,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Сланцевский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Сельхозтехника,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Сланцевский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Сланцевское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Сланцы,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Сосновоборский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Сосновый Бор,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Тихвинский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Мелегежское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Мелегежская Горка,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Тихвинский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Тихвинское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Паголда,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Тихвинский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Тихвинское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Тихвин,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Тихвинский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Цвылевское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Цвылево,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Федоровское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Аннолово,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Тельмановское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Войскорово,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Федоровское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Глинка,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Нурминское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Горки,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Красноборское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Красный Бор,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Федоровское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Ладога,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Любанское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Любань,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Любанское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Любань,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Никольское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Никольское,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Новолисино, дер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Нурминское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Нурма,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Форносовское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Поги,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Рябовское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Рябово,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Любанское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Сельцо,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Тельмановское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Тельмана,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15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Тосно,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00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Трубникоборское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Трубников Бор,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00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Ульяновское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Ульяновка,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00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Ушаки,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00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Федоровское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Федоровское,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00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Форносовское ГП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Форносово,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00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Тосненский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Шапкинское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Шапки, пос.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"ГГЛО"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00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Выборгский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Первомайское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Решетниково,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00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Низинское СП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Князево,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00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Аннинское ГП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Новоселье, г.п.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>
        <w:trPr>
          <w:trHeight w:hRule="atLeast" w:val="300"/>
        </w:trPr>
        <w:tc>
          <w:tcPr>
            <w:tcW w:w="560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Ломоносовский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Виллозское ГП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Пикколово, дер.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"ПетербургГаз"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</w:tbl>
    <w:p/>
    <w:p>
      <w:pPr>
        <w:pStyle w:val="P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напротив населённого пункта не заполен график на 2021-2022 год, то осуществление мероприятий по подключению в настоящее время приостановлено по причине отсутствия свободной пропускной способности газотранспортной системы. Рабо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ты будут выполнены после снятия технологических ограничений. </w:t>
      </w:r>
    </w:p>
    <w:sectPr>
      <w:type w:val="nextPage"/>
      <w:pgSz w:w="23814" w:h="16839" w:code="8" w:orient="landscape"/>
      <w:pgMar w:left="1134" w:right="1134" w:top="1701" w:bottom="85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font1"/>
    <w:basedOn w:val="P0"/>
    <w:pPr>
      <w:spacing w:lineRule="auto" w:line="240" w:before="100" w:after="100" w:beforeAutospacing="1" w:afterAutospacing="1"/>
    </w:pPr>
    <w:rPr>
      <w:rFonts w:ascii="Times New Roman" w:hAnsi="Times New Roman"/>
      <w:color w:val="000000"/>
      <w:sz w:val="20"/>
    </w:rPr>
  </w:style>
  <w:style w:type="paragraph" w:styleId="P2">
    <w:name w:val="font5"/>
    <w:basedOn w:val="P0"/>
    <w:pPr>
      <w:spacing w:lineRule="auto" w:line="240" w:before="100" w:after="100" w:beforeAutospacing="1" w:afterAutospacing="1"/>
    </w:pPr>
    <w:rPr>
      <w:rFonts w:ascii="Times New Roman" w:hAnsi="Times New Roman"/>
      <w:b w:val="1"/>
      <w:sz w:val="24"/>
    </w:rPr>
  </w:style>
  <w:style w:type="paragraph" w:styleId="P3">
    <w:name w:val="xl64"/>
    <w:basedOn w:val="P0"/>
    <w:pPr>
      <w:spacing w:lineRule="auto" w:line="240" w:before="100" w:after="100" w:beforeAutospacing="1" w:afterAutospacing="1"/>
      <w:jc w:val="center"/>
    </w:pPr>
    <w:rPr>
      <w:rFonts w:ascii="Times New Roman" w:hAnsi="Times New Roman"/>
      <w:sz w:val="24"/>
    </w:rPr>
  </w:style>
  <w:style w:type="paragraph" w:styleId="P4">
    <w:name w:val="xl65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  <w:jc w:val="center"/>
    </w:pPr>
    <w:rPr>
      <w:rFonts w:ascii="Times New Roman" w:hAnsi="Times New Roman"/>
      <w:sz w:val="24"/>
    </w:rPr>
  </w:style>
  <w:style w:type="paragraph" w:styleId="P5">
    <w:name w:val="xl66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  <w:jc w:val="center"/>
    </w:pPr>
    <w:rPr>
      <w:rFonts w:ascii="Times New Roman" w:hAnsi="Times New Roman"/>
      <w:sz w:val="24"/>
    </w:rPr>
  </w:style>
  <w:style w:type="paragraph" w:styleId="P6">
    <w:name w:val="xl67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  <w:jc w:val="center"/>
    </w:pPr>
    <w:rPr>
      <w:rFonts w:ascii="Times New Roman" w:hAnsi="Times New Roman"/>
      <w:color w:val="000000"/>
      <w:sz w:val="24"/>
    </w:rPr>
  </w:style>
  <w:style w:type="paragraph" w:styleId="P7">
    <w:name w:val="xl68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  <w:jc w:val="center"/>
    </w:pPr>
    <w:rPr>
      <w:rFonts w:ascii="Times New Roman" w:hAnsi="Times New Roman"/>
      <w:sz w:val="20"/>
    </w:rPr>
  </w:style>
  <w:style w:type="paragraph" w:styleId="P8">
    <w:name w:val="xl69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9">
    <w:name w:val="xl70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  <w:jc w:val="center"/>
    </w:pPr>
    <w:rPr>
      <w:rFonts w:ascii="Times New Roman" w:hAnsi="Times New Roman"/>
      <w:b w:val="1"/>
      <w:sz w:val="24"/>
    </w:rPr>
  </w:style>
  <w:style w:type="paragraph" w:styleId="P10">
    <w:name w:val="xl71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  <w:jc w:val="center"/>
    </w:pPr>
    <w:rPr>
      <w:rFonts w:ascii="Times New Roman" w:hAnsi="Times New Roman"/>
      <w:b w:val="1"/>
      <w:sz w:val="24"/>
    </w:rPr>
  </w:style>
  <w:style w:type="paragraph" w:styleId="P11">
    <w:name w:val="xl72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  <w:jc w:val="center"/>
    </w:pPr>
    <w:rPr>
      <w:rFonts w:ascii="Times New Roman" w:hAnsi="Times New Roman"/>
      <w:sz w:val="24"/>
    </w:rPr>
  </w:style>
  <w:style w:type="paragraph" w:styleId="P12">
    <w:name w:val="xl73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  <w:jc w:val="center"/>
    </w:pPr>
    <w:rPr>
      <w:rFonts w:ascii="Times New Roman" w:hAnsi="Times New Roman"/>
      <w:sz w:val="24"/>
    </w:rPr>
  </w:style>
  <w:style w:type="paragraph" w:styleId="P13">
    <w:name w:val="xl74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none" w:sz="0" w:space="0" w:shadow="0" w:frame="0" w:color="auto"/>
      </w:pBdr>
      <w:spacing w:lineRule="auto" w:line="240" w:before="100" w:after="100" w:beforeAutospacing="1" w:afterAutospacing="1"/>
      <w:jc w:val="center"/>
    </w:pPr>
    <w:rPr>
      <w:rFonts w:ascii="Times New Roman" w:hAnsi="Times New Roman"/>
      <w:b w:val="1"/>
      <w:sz w:val="28"/>
    </w:rPr>
  </w:style>
  <w:style w:type="paragraph" w:styleId="P14">
    <w:name w:val="xl75"/>
    <w:basedOn w:val="P0"/>
    <w:pPr>
      <w:pBdr>
        <w:top w:val="single" w:sz="4" w:space="0" w:shadow="0" w:frame="0" w:color="auto"/>
        <w:left w:val="none" w:sz="0" w:space="0" w:shadow="0" w:frame="0" w:color="auto"/>
        <w:bottom w:val="single" w:sz="4" w:space="0" w:shadow="0" w:frame="0" w:color="auto"/>
        <w:right w:val="none" w:sz="0" w:space="0" w:shadow="0" w:frame="0" w:color="auto"/>
      </w:pBdr>
      <w:spacing w:lineRule="auto" w:line="240" w:before="100" w:after="100" w:beforeAutospacing="1" w:afterAutospacing="1"/>
      <w:jc w:val="center"/>
    </w:pPr>
    <w:rPr>
      <w:rFonts w:ascii="Times New Roman" w:hAnsi="Times New Roman"/>
      <w:b w:val="1"/>
      <w:sz w:val="28"/>
    </w:rPr>
  </w:style>
  <w:style w:type="paragraph" w:styleId="P15">
    <w:name w:val="xl76"/>
    <w:basedOn w:val="P0"/>
    <w:pPr>
      <w:pBdr>
        <w:top w:val="single" w:sz="4" w:space="0" w:shadow="0" w:frame="0" w:color="auto"/>
        <w:left w:val="none" w:sz="0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  <w:jc w:val="center"/>
    </w:pPr>
    <w:rPr>
      <w:rFonts w:ascii="Times New Roman" w:hAnsi="Times New Roman"/>
      <w:b w:val="1"/>
      <w:sz w:val="28"/>
    </w:rPr>
  </w:style>
  <w:style w:type="paragraph" w:styleId="P16">
    <w:name w:val="xl77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none" w:sz="0" w:space="0" w:shadow="0" w:frame="0" w:color="auto"/>
      </w:pBdr>
      <w:spacing w:lineRule="auto" w:line="240" w:before="100" w:after="100" w:beforeAutospacing="1" w:afterAutospacing="1"/>
      <w:jc w:val="center"/>
    </w:pPr>
    <w:rPr>
      <w:rFonts w:ascii="Times New Roman" w:hAnsi="Times New Roman"/>
      <w:sz w:val="24"/>
    </w:rPr>
  </w:style>
  <w:style w:type="paragraph" w:styleId="P17">
    <w:name w:val="xl78"/>
    <w:basedOn w:val="P0"/>
    <w:pPr>
      <w:pBdr>
        <w:top w:val="single" w:sz="4" w:space="0" w:shadow="0" w:frame="0" w:color="auto"/>
        <w:left w:val="none" w:sz="0" w:space="0" w:shadow="0" w:frame="0" w:color="auto"/>
        <w:bottom w:val="single" w:sz="4" w:space="0" w:shadow="0" w:frame="0" w:color="auto"/>
        <w:right w:val="none" w:sz="0" w:space="0" w:shadow="0" w:frame="0" w:color="auto"/>
      </w:pBdr>
      <w:spacing w:lineRule="auto" w:line="240" w:before="100" w:after="100" w:beforeAutospacing="1" w:afterAutospacing="1"/>
      <w:jc w:val="center"/>
    </w:pPr>
    <w:rPr>
      <w:rFonts w:ascii="Times New Roman" w:hAnsi="Times New Roman"/>
      <w:sz w:val="24"/>
    </w:rPr>
  </w:style>
  <w:style w:type="paragraph" w:styleId="P18">
    <w:name w:val="xl79"/>
    <w:basedOn w:val="P0"/>
    <w:pPr>
      <w:pBdr>
        <w:top w:val="single" w:sz="4" w:space="0" w:shadow="0" w:frame="0" w:color="auto"/>
        <w:left w:val="none" w:sz="0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  <w:jc w:val="center"/>
    </w:pPr>
    <w:rPr>
      <w:rFonts w:ascii="Times New Roman" w:hAnsi="Times New Roman"/>
      <w:sz w:val="24"/>
    </w:rPr>
  </w:style>
  <w:style w:type="paragraph" w:styleId="P19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FollowedHyperlink"/>
    <w:basedOn w:val="C0"/>
    <w:semiHidden/>
    <w:rPr>
      <w:color w:val="800080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